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2019</w:t>
      </w:r>
    </w:p>
    <w:p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Выплатил кредит – погаси ипотеку</w:t>
      </w: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вы взяли </w:t>
      </w:r>
      <w:proofErr w:type="spellStart"/>
      <w:r>
        <w:rPr>
          <w:rFonts w:ascii="Segoe UI" w:hAnsi="Segoe UI" w:cs="Segoe UI"/>
          <w:sz w:val="24"/>
          <w:szCs w:val="24"/>
        </w:rPr>
        <w:t>займ</w:t>
      </w:r>
      <w:proofErr w:type="spellEnd"/>
      <w:r>
        <w:rPr>
          <w:rFonts w:ascii="Segoe UI" w:hAnsi="Segoe UI" w:cs="Segoe UI"/>
          <w:sz w:val="24"/>
          <w:szCs w:val="24"/>
        </w:rPr>
        <w:t xml:space="preserve"> в банке или иной кредитной организации под залог недвижимости, нужно помнить, что, выплатив кредит, необходимо 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погасить запись об ипотеке в Едином государственном реестре недвижимости. Иначе, являясь полноправным собственником, невозможно будет самостоятельно распорядиться имуществом, так как оно останется в залоге у банка.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Росреестра по Самарской области, в Единый государственный реестр недвижимости только в 2018 году было внесено около 67,6 тысяч записей об ипотеке, а за первое полугодие 2019 года 26,4 тысяч записей. Кроме того, в ЕГРН содержатся записи об ипотеке предыдущих лет. После того, как заемщики выплатят кредиты, все эти записи должны быть прекращены.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Чаще всего, когда выдается ипотека, сразу оформляется и закладная на недвижимость. По закону при наличии закладной подать заявление о прекращении ограничения в Едином государственном реестре недвижимости вправе кредитная организация и заемщик вместе, а также каждый из них по отдельности. Обратиться в регистрирующий орган нужно через многофункциональный центр. Погашение ипотеки Управление Росреестра по Самарской области осуществляет за три рабочих дня, услуга предоставляется бесплатно. </w:t>
      </w:r>
      <w:proofErr w:type="gramStart"/>
      <w:r>
        <w:rPr>
          <w:rFonts w:ascii="Segoe UI" w:hAnsi="Segoe UI" w:cs="Segoe UI"/>
          <w:sz w:val="24"/>
          <w:szCs w:val="24"/>
        </w:rPr>
        <w:t>«Если подается совместное заявление или его подает только банк, одновременно представляется документарная закладная или выписка по счету депо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– При этом закладная должна быть обездвижена. В случае, когда обращается только заемщик, на документарной закладной должна быть отметка банка об исполнении ипотечного обязательства в полном объеме».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Напомним, год назад были внесены изменения в федеральный закон «Об ипотеке», которые ввели в оборот электронную закладную. При оформлении такой закладной обращение с заявлением об ее аннулировании не требуется. В Самарской области электронная закладная так и не вошла в оборот, поэтому при погашении ипотеки по-прежнему представляется документарная закладная или выписка по счету-депо, подтверждающая, что закладная помещена в депозитарий хранения закладных.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Проверить, прекращена ли ипотека, можно бесплатно на публичной кадастровой карте в режиме </w:t>
      </w:r>
      <w:proofErr w:type="gramStart"/>
      <w:r>
        <w:rPr>
          <w:rFonts w:ascii="Segoe UI" w:hAnsi="Segoe UI" w:cs="Segoe UI"/>
          <w:sz w:val="24"/>
          <w:szCs w:val="24"/>
        </w:rPr>
        <w:t>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 (rosreestr.ru). Стоит знать, что этот ресурс обновляется с определенной периодичностью, поэтому информация может появиться не в день погашения ипотеки, а позже. Кроме того, заемщик имеет право заказать выписку из ЕГРН в электронном виде на сайте Росреестра или в бумажном формате в любом офисе многофункционального центра. Такая выписка предоставляется за плату. Если за погашением ипотеки обращался банк, и заявление было подано им в электронном виде, информацию о прекращении обременения можно узнать в кредитной организации.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/>
    <w:p/>
    <w:p/>
    <w:p/>
    <w:p/>
    <w:p/>
    <w:p/>
    <w:p/>
    <w:p/>
    <w:p>
      <w:r>
        <w:t>А.Г. Черных</w:t>
      </w:r>
    </w:p>
    <w:p/>
    <w:p/>
    <w:p>
      <w:r>
        <w:t>А.В. Гук                                                А.В. Потапенко                                                                  О.А. Никитина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5815-9A5B-4B59-8B0F-C5F1E668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E0DF5-7A5C-4068-84B1-DDCC543C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98</cp:revision>
  <cp:lastPrinted>2019-08-02T08:50:00Z</cp:lastPrinted>
  <dcterms:created xsi:type="dcterms:W3CDTF">2019-08-02T06:56:00Z</dcterms:created>
  <dcterms:modified xsi:type="dcterms:W3CDTF">2019-08-05T08:51:00Z</dcterms:modified>
</cp:coreProperties>
</file>