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25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октября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Самарская область достигла 100% показателей целевой модели 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 регистрации прав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24 октября в Управлении Росреестра по Самарской области состоялась коллегия, в ходе которой в том числе был рассмотрен вопрос реализации целевой модели «Регистрация права собственности на земельные участки и объекты недвижимости».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Утвержденная Правительством Российской Федерации целевая модель «Регистрация прав собственности на земельные участки и объекты недвижимости» 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направлена на совершенствование учетно-регистрационных процедур, на </w:t>
      </w:r>
      <w:r>
        <w:rPr>
          <w:rFonts w:ascii="Segoe UI" w:hAnsi="Segoe UI" w:cs="Segoe UI"/>
          <w:color w:val="000000" w:themeColor="text1"/>
          <w:sz w:val="24"/>
          <w:szCs w:val="24"/>
        </w:rPr>
        <w:t>снижение административных барьеров при предоставлении государственной услуги по регистрации прав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и на улучшение бизнес-среды.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На территории Самарской области реализация этой целевой модели осуществляется при участии Управления Росреестра по Самарской области, Уполномоченного МФЦ по Самарской области, региональных властей и органов местного самоуправления.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данным Агентства стратегических инициатив по итогам 6 месяцев 2019 года только 7 регионов России из 85 достигли 100% показателей целевой модели «Регистрация прав собственности на земельные участки и объекты недвижимости». В их числе – Самарская область. По итогам 9 месяцев наш регион также достиг всех установленных 12 показателей.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«Особое внимание Управление Росреестра уделяет межведомственному электронному взаимодействию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. – На запросы Управления органы власти должны предоставлять информацию оперативно и исключительно через электронные сервисы, поскольку это существенно влияет на качество и сроки оказания услуг Росреестра. Поэтому в 2020 году тема межведомственного электронного взаимодействия также будет под нашим постоянным контролем».  </w:t>
      </w:r>
    </w:p>
    <w:p>
      <w:pPr>
        <w:suppressAutoHyphens/>
        <w:autoSpaceDE w:val="0"/>
        <w:autoSpaceDN w:val="0"/>
        <w:adjustRightInd w:val="0"/>
        <w:spacing w:before="240" w:after="0" w:line="276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1202-EF93-4C22-B0C5-80B895D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Курова Лилия Юрьевна</cp:lastModifiedBy>
  <cp:revision>52</cp:revision>
  <cp:lastPrinted>2019-10-24T12:11:00Z</cp:lastPrinted>
  <dcterms:created xsi:type="dcterms:W3CDTF">2019-10-24T08:48:00Z</dcterms:created>
  <dcterms:modified xsi:type="dcterms:W3CDTF">2019-10-24T12:46:00Z</dcterms:modified>
</cp:coreProperties>
</file>